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="方正小标宋简体" w:hAnsi="Times New Roman" w:eastAsia="方正小标宋简体"/>
          <w:b w:val="0"/>
          <w:color w:val="FF0000"/>
          <w:sz w:val="56"/>
          <w:szCs w:val="18"/>
        </w:rPr>
      </w:pPr>
      <w:r>
        <w:rPr>
          <w:rFonts w:cs="宋体"/>
          <w:color w:val="FF0000"/>
          <w:spacing w:val="8"/>
          <w:sz w:val="56"/>
          <w:szCs w:val="56"/>
          <w:shd w:val="clear" w:color="auto" w:fill="FFFFFF"/>
        </w:rPr>
        <w:t>关于召开2020年度中国建筑业转型与</w:t>
      </w:r>
      <w:bookmarkStart w:id="0" w:name="_GoBack"/>
      <w:bookmarkEnd w:id="0"/>
      <w:r>
        <w:rPr>
          <w:rFonts w:cs="宋体"/>
          <w:color w:val="FF0000"/>
          <w:spacing w:val="8"/>
          <w:sz w:val="56"/>
          <w:szCs w:val="56"/>
          <w:shd w:val="clear" w:color="auto" w:fill="FFFFFF"/>
        </w:rPr>
        <w:t>发展高峰论坛的通知</w:t>
      </w:r>
    </w:p>
    <w:p>
      <w:pPr>
        <w:rPr>
          <w:rFonts w:ascii="宋体" w:hAnsi="宋体" w:eastAsia="宋体" w:cs="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342900</wp:posOffset>
                </wp:positionV>
                <wp:extent cx="528129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12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27pt;height:0pt;width:415.85pt;z-index:251658240;mso-width-relative:page;mso-height-relative:page;" filled="f" stroked="t" coordsize="21600,21600" o:gfxdata="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FWyDrVAAAACAEAAA8AAAAAAAAAAQAgAAAAIgAAAGRycy9kb3du&#10;cmV2LnhtbFBLAQIUABQAAAAIAIdO4kDJG+FZyQEAAGMDAAAOAAAAAAAAAAEAIAAAACQBAABkcnMv&#10;ZTJvRG9jLnhtbFBLBQYAAAAABgAGAFkBAABfBQAAAAA=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各相关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面对“新冠疫情”的突袭，2020年面临巨大挑战。中国作为世界第二大经济体，疫情对我国经济长期向好的基本面不会产生巨大影响。建筑行业作为国民经济支柱产业之一，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虽受到一定冲击，但在某种程度上，疫情也驱使其面临更大的变革和发展。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疫情之下，素有“基建狂魔”之称的中国，向世界展示了什么是“中国速度”。在后疫情时代，新一轮的基建狂潮已然袭来。但国家“房住不炒”定位的间接影响，使大多习惯承建房建业务的建筑企业陷入两难。另外，两会期间，“新基建”作为高科技含量、高附加值的发展模式，多次被点名。随着传统基建对经济增长的边际效益的递减，传统基建模式向新基建的转型乃大势所趋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7月初，住建部发布关于《建设工程企业资质标准框架（征求意见稿）》，预示着业内流传已久的资质改革已如约</w:t>
      </w:r>
      <w:r>
        <w:rPr>
          <w:rFonts w:hint="eastAsia" w:ascii="仿宋_GB2312" w:eastAsia="仿宋_GB2312"/>
          <w:bCs/>
          <w:sz w:val="32"/>
          <w:szCs w:val="32"/>
        </w:rPr>
        <w:t>而至。此次改革大幅缩减各项资质，种种措施都在释放出“淡化企业资质，强化个人执业资格”的讯号。资质改革的推进，在一定程度上，也意味着建筑市场格局和利益将被重新分配。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以上种种变革都意味着，2020年建筑行业唯一不变的就是“变化”。在大势所趋的变革中，多位建筑行业领导、权威专家自发组织本次论坛，通过他们在经营管理、企业管理、项目管理、税务筹划等方面的持续创新、不断探索，以期分享经验，帮助建筑企业准确把握宏观政策方向，抓住改革机遇，寻求转型突破契机，共同构建建筑行业发展新态势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500家建筑单位、1000名行业专业人士，将齐聚美丽杭州，共话行业未来机遇与挑战，共论企业生存发展之道。诚邀您的到来，共谋建筑行业发展新未来！</w:t>
      </w: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widowControl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                                                                                         </w:t>
      </w:r>
    </w:p>
    <w:p>
      <w:pPr>
        <w:adjustRightInd w:val="0"/>
        <w:snapToGrid w:val="0"/>
        <w:spacing w:line="590" w:lineRule="exact"/>
        <w:ind w:firstLine="3520" w:firstLineChars="11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3520" w:firstLineChars="11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3200" w:firstLineChars="10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杭州筑龙信息技术股份有限公司</w:t>
      </w:r>
    </w:p>
    <w:p>
      <w:pPr>
        <w:widowControl/>
        <w:ind w:firstLine="4160" w:firstLineChars="1300"/>
        <w:jc w:val="left"/>
        <w:rPr>
          <w:rFonts w:hint="default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二0二0年十月十日</w:t>
      </w: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大会主题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转型发展 提质增效</w:t>
      </w:r>
    </w:p>
    <w:p>
      <w:pPr>
        <w:numPr>
          <w:ilvl w:val="0"/>
          <w:numId w:val="1"/>
        </w:num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大会内容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本次峰会主要围绕建筑行业的宏观环境、行业政策、商务经营、企业管理、项目管理、税务筹划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风险防范</w:t>
      </w:r>
      <w:r>
        <w:rPr>
          <w:rFonts w:hint="eastAsia" w:ascii="仿宋_GB2312" w:eastAsia="仿宋_GB2312"/>
          <w:bCs/>
          <w:sz w:val="32"/>
          <w:szCs w:val="32"/>
        </w:rPr>
        <w:t>等课题展开研讨。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大会包括主会场与三个主题分会场。</w:t>
      </w:r>
    </w:p>
    <w:p>
      <w:pPr>
        <w:numPr>
          <w:ilvl w:val="0"/>
          <w:numId w:val="1"/>
        </w:num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大会时间及地点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大会时间：2020年11月6日-7日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大会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地址</w:t>
      </w:r>
      <w:r>
        <w:rPr>
          <w:rFonts w:hint="eastAsia" w:ascii="仿宋" w:hAnsi="仿宋" w:eastAsia="仿宋" w:cs="仿宋"/>
          <w:bCs/>
          <w:sz w:val="32"/>
          <w:szCs w:val="32"/>
        </w:rPr>
        <w:t>：中国-杭州-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"http://www.baidu.com/link?url=fWCcpUb247ov9hU2mPYV-L_9AeXaRG5l24sxgfiUlnSMDnrOBdA5mPuvY3eSNsjYX_Q3bZtZ5b8z5TcxywyJt4WznEzI_r20smXAxoE6Nk90tu_QlvkaxOway2cyTqAEUdqqOV5a4zETjbPTC1OPBa72u4EOMjx4Cw9zJn0cVNYNILLYuqRrApRNS2QKjz-dPYIZ5pLMGP4tN7HcnbAOX_" \t "_blank"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bCs/>
          <w:sz w:val="32"/>
          <w:szCs w:val="32"/>
        </w:rPr>
        <w:t>宝盛水博园大酒店</w: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（杭州市萧山区水博大道118号）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参会嘉宾</w:t>
      </w:r>
    </w:p>
    <w:p>
      <w:pPr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王铁</w:t>
      </w:r>
      <w:r>
        <w:rPr>
          <w:rFonts w:hint="eastAsia" w:ascii="仿宋" w:hAnsi="仿宋" w:eastAsia="仿宋" w:cs="___WRD_EMBED_SUB_47"/>
          <w:b/>
          <w:bCs/>
          <w:sz w:val="32"/>
          <w:szCs w:val="32"/>
        </w:rPr>
        <w:t>宏</w:t>
      </w: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中国建筑业协会原会长，住房城乡建设部原总工程师、</w:t>
      </w:r>
      <w:r>
        <w:rPr>
          <w:rFonts w:hint="eastAsia" w:ascii="仿宋" w:hAnsi="仿宋" w:eastAsia="仿宋" w:cs="微软雅黑"/>
          <w:bCs/>
          <w:sz w:val="32"/>
          <w:szCs w:val="32"/>
        </w:rPr>
        <w:t>办</w:t>
      </w:r>
      <w:r>
        <w:rPr>
          <w:rFonts w:hint="eastAsia" w:ascii="仿宋" w:hAnsi="仿宋" w:eastAsia="仿宋" w:cs="___WRD_EMBED_SUB_47"/>
          <w:bCs/>
          <w:sz w:val="32"/>
          <w:szCs w:val="32"/>
        </w:rPr>
        <w:t>公</w:t>
      </w:r>
      <w:r>
        <w:rPr>
          <w:rFonts w:hint="eastAsia" w:ascii="仿宋" w:hAnsi="仿宋" w:eastAsia="仿宋" w:cs="微软雅黑"/>
          <w:bCs/>
          <w:sz w:val="32"/>
          <w:szCs w:val="32"/>
        </w:rPr>
        <w:t>厅</w:t>
      </w:r>
      <w:r>
        <w:rPr>
          <w:rFonts w:hint="eastAsia" w:ascii="仿宋" w:hAnsi="仿宋" w:eastAsia="仿宋" w:cs="___WRD_EMBED_SUB_47"/>
          <w:bCs/>
          <w:sz w:val="32"/>
          <w:szCs w:val="32"/>
        </w:rPr>
        <w:t>主任兼新</w:t>
      </w:r>
      <w:r>
        <w:rPr>
          <w:rFonts w:hint="eastAsia" w:ascii="仿宋" w:hAnsi="仿宋" w:eastAsia="仿宋" w:cs="微软雅黑"/>
          <w:bCs/>
          <w:sz w:val="32"/>
          <w:szCs w:val="32"/>
        </w:rPr>
        <w:t>闻</w:t>
      </w:r>
      <w:r>
        <w:rPr>
          <w:rFonts w:hint="eastAsia" w:ascii="仿宋" w:hAnsi="仿宋" w:eastAsia="仿宋" w:cs="___WRD_EMBED_SUB_47"/>
          <w:bCs/>
          <w:sz w:val="32"/>
          <w:szCs w:val="32"/>
        </w:rPr>
        <w:t>发</w:t>
      </w:r>
      <w:r>
        <w:rPr>
          <w:rFonts w:hint="eastAsia" w:ascii="仿宋" w:hAnsi="仿宋" w:eastAsia="仿宋" w:cs="微软雅黑"/>
          <w:bCs/>
          <w:sz w:val="32"/>
          <w:szCs w:val="32"/>
        </w:rPr>
        <w:t>言</w:t>
      </w:r>
      <w:r>
        <w:rPr>
          <w:rFonts w:hint="eastAsia" w:ascii="仿宋" w:hAnsi="仿宋" w:eastAsia="仿宋" w:cs="___WRD_EMBED_SUB_47"/>
          <w:bCs/>
          <w:sz w:val="32"/>
          <w:szCs w:val="32"/>
        </w:rPr>
        <w:t>人，</w:t>
      </w:r>
      <w:r>
        <w:rPr>
          <w:rFonts w:hint="eastAsia" w:ascii="仿宋" w:hAnsi="仿宋" w:eastAsia="仿宋" w:cs="微软雅黑"/>
          <w:bCs/>
          <w:sz w:val="32"/>
          <w:szCs w:val="32"/>
        </w:rPr>
        <w:t>曾</w:t>
      </w:r>
      <w:r>
        <w:rPr>
          <w:rFonts w:hint="eastAsia" w:ascii="仿宋" w:hAnsi="仿宋" w:eastAsia="仿宋" w:cs="___WRD_EMBED_SUB_47"/>
          <w:bCs/>
          <w:sz w:val="32"/>
          <w:szCs w:val="32"/>
        </w:rPr>
        <w:t>任中国建筑科学研究院院长。</w:t>
      </w:r>
    </w:p>
    <w:p>
      <w:pPr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</w:rPr>
        <w:t>秦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微软雅黑"/>
          <w:b/>
          <w:bCs/>
          <w:sz w:val="32"/>
          <w:szCs w:val="32"/>
        </w:rPr>
        <w:t>虹</w:t>
      </w: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住房和城乡建设部政策研究中心原主任、研究员。中国人民大学国发院城市更新研究中心主任，原国务院特殊津贴专家，第十八届中央政治局第10次集体学习主讲人。</w:t>
      </w:r>
    </w:p>
    <w:p>
      <w:pPr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</w:rPr>
        <w:t>叶  明</w:t>
      </w: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住房城乡建设部科技与产业化发展中心原副总工程师。中国工程建筑标准化协会建筑产业化分会副会长，中建科技集团有限公司顾问总工，教授级高工。</w:t>
      </w:r>
    </w:p>
    <w:p>
      <w:pPr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</w:rPr>
        <w:t>鲁贵卿</w:t>
      </w: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平安建设投资有限公司董事长。中国建筑业协会绿色施工分会副会长。原中南控股集团有限公司总经理，历任中国建筑第五工程局有限公司董事长，中国建筑股份有限公司总经济师。</w:t>
      </w:r>
    </w:p>
    <w:p>
      <w:pPr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毛晨阳</w:t>
      </w:r>
      <w:r>
        <w:rPr>
          <w:rFonts w:hint="eastAsia"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双特级双行甲民营企业实战家。教授级高级工程师，西南交通大学兼职教授、硕士生导师，浙江大学客座教授、工程硕士企业导师，浙江理工大学兼职教授、创业导师。元博圣德控股集团党委书记、董事长，鲲鹏建设集团董事长，鲲鹏干部学院院长。</w:t>
      </w:r>
    </w:p>
    <w:p>
      <w:pPr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杜慧鹏</w:t>
      </w: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中电建建筑集团副总裁。中国人民大学企业管理硕士、对外经贸大学MBA校外研究生导师、北京工业大学校外研究生导师、国内知名企业管理专家。</w:t>
      </w:r>
    </w:p>
    <w:p>
      <w:pPr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马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楠</w:t>
      </w:r>
      <w:r>
        <w:rPr>
          <w:rFonts w:ascii="仿宋_GB2312" w:eastAsia="仿宋_GB2312"/>
          <w:bCs/>
          <w:sz w:val="32"/>
          <w:szCs w:val="32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住房与城乡建设部政策研究中心特聘专家。高校教授、工程管理专业学科带头人、项目管理与工程造价研究所长，国家注册造价工程师、英国皇家特许测量师学会资深会员。</w:t>
      </w:r>
    </w:p>
    <w:p>
      <w:pPr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肖太寿 </w:t>
      </w:r>
      <w:r>
        <w:rPr>
          <w:rFonts w:hint="eastAsia" w:ascii="仿宋_GB2312" w:eastAsia="仿宋_GB2312"/>
          <w:bCs/>
          <w:sz w:val="32"/>
          <w:szCs w:val="32"/>
        </w:rPr>
        <w:t xml:space="preserve">  财政部财政科学研究所博士后。清华大学、中国社会科学院大学特聘教授，我国首位“三证统一”筹划理论、合同控税新理念的提出者。</w:t>
      </w:r>
    </w:p>
    <w:p>
      <w:pPr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王登山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中国建筑业协会法律工作委员会副秘书长。北京大成律师事务所高级合伙人，北京市律协建设工程法律专业委员会主任，全国一级建造师执业资格考试用书编写组专家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神秘嘉宾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建设部资质改革审查专家，国内大型央企资质管理负责人。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会议内容</w:t>
      </w:r>
    </w:p>
    <w:p>
      <w:pPr>
        <w:pStyle w:val="8"/>
        <w:numPr>
          <w:ilvl w:val="0"/>
          <w:numId w:val="2"/>
        </w:numPr>
        <w:ind w:firstLineChars="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主会场议程（1</w:t>
      </w:r>
      <w:r>
        <w:rPr>
          <w:rFonts w:ascii="楷体_GB2312" w:eastAsia="楷体_GB2312"/>
          <w:b/>
          <w:sz w:val="32"/>
          <w:szCs w:val="32"/>
        </w:rPr>
        <w:t>1</w:t>
      </w:r>
      <w:r>
        <w:rPr>
          <w:rFonts w:hint="eastAsia" w:ascii="楷体_GB2312" w:eastAsia="楷体_GB2312"/>
          <w:b/>
          <w:sz w:val="32"/>
          <w:szCs w:val="32"/>
        </w:rPr>
        <w:t>月6日）</w:t>
      </w:r>
    </w:p>
    <w:p>
      <w:pPr>
        <w:rPr>
          <w:rFonts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嘉宾：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王铁宏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 w:val="0"/>
          <w:sz w:val="32"/>
          <w:szCs w:val="32"/>
        </w:rPr>
        <w:t>中国建筑业协会原会长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主题：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《建筑产业数字化转型升级》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嘉宾:秦虹 住房和城乡建设部政策研究中心原主任  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主题：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《房地产市场与政策趋势》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嘉宾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叶明 住房城乡建设部科技与产业化发展中心原副总工程师 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主题：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《新型建筑工业化及其创新发展》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嘉宾：鲁贵卿  平安建设投资有限公司董事长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主题：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重磅主题 蓄势待发</w:t>
      </w:r>
    </w:p>
    <w:p>
      <w:pPr>
        <w:pStyle w:val="8"/>
        <w:numPr>
          <w:ilvl w:val="0"/>
          <w:numId w:val="2"/>
        </w:numPr>
        <w:ind w:firstLineChars="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分会场议程（1</w:t>
      </w:r>
      <w:r>
        <w:rPr>
          <w:rFonts w:ascii="楷体_GB2312" w:eastAsia="楷体_GB2312"/>
          <w:b/>
          <w:sz w:val="32"/>
          <w:szCs w:val="32"/>
        </w:rPr>
        <w:t>1</w:t>
      </w:r>
      <w:r>
        <w:rPr>
          <w:rFonts w:hint="eastAsia" w:ascii="楷体_GB2312" w:eastAsia="楷体_GB2312"/>
          <w:b/>
          <w:sz w:val="32"/>
          <w:szCs w:val="32"/>
        </w:rPr>
        <w:t>月7日）</w:t>
      </w:r>
    </w:p>
    <w:p>
      <w:pPr>
        <w:pStyle w:val="8"/>
        <w:numPr>
          <w:ilvl w:val="0"/>
          <w:numId w:val="0"/>
        </w:numPr>
        <w:ind w:leftChars="0"/>
        <w:rPr>
          <w:rFonts w:hint="default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上午：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第一分会场：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嘉宾：杜慧鹏  中电建建筑集团副总裁 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主题：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《施工企业项目成功之路——科学项目管理方法分析》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第二分会场</w:t>
      </w:r>
    </w:p>
    <w:p>
      <w:pPr>
        <w:rPr>
          <w:rFonts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嘉宾：马楠  住房与城乡建设部政策研究中心特聘专家 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主题：《破局而立——严峻形势下建筑施工企业困局突围与经营致胜之道》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第三分会场：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嘉宾：肖太寿  财政部财政科学研究所博士后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主题：《建筑企业中高层管理人员的财税法风险管理思维》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下午：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第一分会场：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嘉宾：毛晨阳  双特级双行甲民营企业实战家 </w:t>
      </w: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主题：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《联营项目风险破解之道》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第二分会场：</w:t>
      </w:r>
    </w:p>
    <w:p>
      <w:pPr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0F0F0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嘉宾：王登山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中国建筑业协会法律工作委员会副秘书长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0F0F0"/>
          <w:lang w:bidi="ar"/>
        </w:rPr>
        <w:t xml:space="preserve"> </w:t>
      </w: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主题：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《民法典下建设工程施工合同法律风险防范与纠纷解决技巧》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第三分会场：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神秘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嘉宾：建设部质改革审查专家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主题：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《建筑企业资质之痛》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参会对象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1、各省、市建设主管部门，建筑行业协会，市政行业协会及各学会和商会相关领导；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2、建筑企业董事长/总经理及三总师等高级管理人员；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3、各单位部门负责人及业务骨干；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4、建筑业咨询服务机构。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组织机构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590" w:lineRule="exact"/>
        <w:ind w:firstLineChars="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指导单位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浙江省建筑业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行业</w:t>
      </w:r>
      <w:r>
        <w:rPr>
          <w:rFonts w:hint="eastAsia" w:ascii="仿宋_GB2312" w:eastAsia="仿宋_GB2312"/>
          <w:bCs/>
          <w:sz w:val="32"/>
          <w:szCs w:val="32"/>
        </w:rPr>
        <w:t xml:space="preserve">协会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浙江省市政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行业</w:t>
      </w:r>
      <w:r>
        <w:rPr>
          <w:rFonts w:hint="eastAsia" w:ascii="仿宋_GB2312" w:eastAsia="仿宋_GB2312"/>
          <w:bCs/>
          <w:sz w:val="32"/>
          <w:szCs w:val="32"/>
        </w:rPr>
        <w:t>协会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温州市建筑业联合会 </w:t>
      </w:r>
      <w:r>
        <w:rPr>
          <w:rFonts w:ascii="仿宋_GB2312" w:eastAsia="仿宋_GB2312"/>
          <w:bCs/>
          <w:sz w:val="32"/>
          <w:szCs w:val="32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嘉兴市建筑业协会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南昌市建筑业协会 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成都市建筑业协会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漯河市建筑业协会 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安庆市建筑业协会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四川省建筑业商会      聊城市建筑业协会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聊城市城市建设协会    枣庄市建筑业协会 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590" w:lineRule="exact"/>
        <w:ind w:firstLineChars="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主办单位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杭州筑龙信息技术股份有限公司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590" w:lineRule="exact"/>
        <w:ind w:firstLineChars="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协办单位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鲲鹏干部学院 </w:t>
      </w:r>
      <w:r>
        <w:rPr>
          <w:rFonts w:ascii="仿宋_GB2312" w:eastAsia="仿宋_GB2312"/>
          <w:bCs/>
          <w:sz w:val="32"/>
          <w:szCs w:val="32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</w:rPr>
        <w:t>尚谦亿建筑集团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建设通 </w:t>
      </w:r>
      <w:r>
        <w:rPr>
          <w:rFonts w:ascii="仿宋_GB2312" w:eastAsia="仿宋_GB2312"/>
          <w:bCs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bCs/>
          <w:sz w:val="32"/>
          <w:szCs w:val="32"/>
        </w:rPr>
        <w:t>众和软件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参会费用</w:t>
      </w:r>
    </w:p>
    <w:p>
      <w:pPr>
        <w:pStyle w:val="8"/>
        <w:adjustRightInd w:val="0"/>
        <w:snapToGrid w:val="0"/>
        <w:spacing w:line="360" w:lineRule="auto"/>
        <w:ind w:firstLine="640"/>
        <w:rPr>
          <w:rFonts w:ascii="仿宋_GB2312" w:eastAsia="仿宋_GB2312" w:hAnsiTheme="minorHAnsi" w:cstheme="minorBidi"/>
          <w:bCs/>
          <w:sz w:val="32"/>
          <w:szCs w:val="32"/>
        </w:rPr>
      </w:pPr>
      <w:r>
        <w:rPr>
          <w:rFonts w:hint="eastAsia" w:ascii="仿宋_GB2312" w:eastAsia="仿宋_GB2312" w:hAnsiTheme="minorHAnsi" w:cstheme="minorBidi"/>
          <w:bCs/>
          <w:sz w:val="32"/>
          <w:szCs w:val="32"/>
        </w:rPr>
        <w:t>本次会议会务费2200元人民币/人，餐饮统一安排，住宿费、差旅交通费自理。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汇款方式</w:t>
      </w:r>
    </w:p>
    <w:p>
      <w:pPr>
        <w:pStyle w:val="8"/>
        <w:adjustRightInd w:val="0"/>
        <w:snapToGrid w:val="0"/>
        <w:spacing w:line="360" w:lineRule="auto"/>
        <w:ind w:firstLine="640"/>
        <w:rPr>
          <w:rFonts w:ascii="仿宋_GB2312" w:eastAsia="仿宋_GB2312" w:hAnsiTheme="minorHAnsi" w:cstheme="minorBidi"/>
          <w:bCs/>
          <w:sz w:val="32"/>
          <w:szCs w:val="32"/>
        </w:rPr>
      </w:pPr>
      <w:r>
        <w:rPr>
          <w:rFonts w:hint="eastAsia" w:ascii="仿宋_GB2312" w:eastAsia="仿宋_GB2312" w:hAnsiTheme="minorHAnsi" w:cstheme="minorBidi"/>
          <w:bCs/>
          <w:sz w:val="32"/>
          <w:szCs w:val="32"/>
        </w:rPr>
        <w:t>收款单位：杭州筑龙信息技术股份有限公司</w:t>
      </w:r>
    </w:p>
    <w:p>
      <w:pPr>
        <w:pStyle w:val="8"/>
        <w:adjustRightInd w:val="0"/>
        <w:snapToGrid w:val="0"/>
        <w:spacing w:line="360" w:lineRule="auto"/>
        <w:ind w:firstLine="640"/>
        <w:rPr>
          <w:rFonts w:ascii="仿宋_GB2312" w:eastAsia="仿宋_GB2312" w:hAnsiTheme="minorHAnsi" w:cstheme="minorBidi"/>
          <w:bCs/>
          <w:sz w:val="32"/>
          <w:szCs w:val="32"/>
        </w:rPr>
      </w:pPr>
      <w:r>
        <w:rPr>
          <w:rFonts w:hint="eastAsia" w:ascii="仿宋_GB2312" w:eastAsia="仿宋_GB2312" w:hAnsiTheme="minorHAnsi" w:cstheme="minorBidi"/>
          <w:bCs/>
          <w:sz w:val="32"/>
          <w:szCs w:val="32"/>
        </w:rPr>
        <w:t>开户名称：杭州筑龙信息技术股份有限公司</w:t>
      </w:r>
    </w:p>
    <w:p>
      <w:pPr>
        <w:pStyle w:val="8"/>
        <w:adjustRightInd w:val="0"/>
        <w:snapToGrid w:val="0"/>
        <w:spacing w:line="360" w:lineRule="auto"/>
        <w:ind w:firstLine="640"/>
        <w:rPr>
          <w:rFonts w:ascii="仿宋_GB2312" w:eastAsia="仿宋_GB2312" w:hAnsiTheme="minorHAnsi" w:cstheme="minorBidi"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355600</wp:posOffset>
                </wp:positionV>
                <wp:extent cx="1085850" cy="409575"/>
                <wp:effectExtent l="0" t="0" r="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85435" y="8289925"/>
                          <a:ext cx="10858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扫码报名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3pt;margin-top:28pt;height:32.25pt;width:85.5pt;z-index:-251656192;mso-width-relative:page;mso-height-relative:page;" fillcolor="#FFFFFF [3212]" filled="t" stroked="f" coordsize="21600,21600" o:gfxdata="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fNlObUAAAACgEAAA8AAAAAAAAAAQAgAAAAIgAAAGRy&#10;cy9kb3ducmV2LnhtbFBLAQIUABQAAAAIAIdO4kBmMj25QgIAAE0EAAAOAAAAAAAAAAEAIAAAACM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扫码报名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 w:hAnsiTheme="minorHAnsi" w:cstheme="minorBidi"/>
          <w:bCs/>
          <w:sz w:val="32"/>
          <w:szCs w:val="32"/>
        </w:rPr>
        <w:t>开户银行：中国农业银行杭州滨江支行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386080</wp:posOffset>
            </wp:positionV>
            <wp:extent cx="1075690" cy="1076325"/>
            <wp:effectExtent l="0" t="0" r="10160" b="9525"/>
            <wp:wrapNone/>
            <wp:docPr id="2" name="图片 2" descr="D:\黄敏-2020\产品对接\千人大会\单独二维码\嘉兴二维码.png嘉兴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黄敏-2020\产品对接\千人大会\单独二维码\嘉兴二维码.png嘉兴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Cs/>
          <w:sz w:val="32"/>
          <w:szCs w:val="32"/>
        </w:rPr>
        <w:t>账  </w:t>
      </w:r>
      <w:r>
        <w:rPr>
          <w:rFonts w:hint="eastAsia" w:ascii="仿宋" w:hAnsi="仿宋" w:eastAsia="仿宋" w:cs="仿宋"/>
          <w:bCs/>
          <w:sz w:val="32"/>
          <w:szCs w:val="32"/>
        </w:rPr>
        <w:t>户：</w:t>
      </w:r>
      <w:r>
        <w:rPr>
          <w:rFonts w:hint="eastAsia" w:ascii="仿宋_GB2312" w:eastAsia="仿宋_GB2312"/>
          <w:bCs/>
          <w:sz w:val="32"/>
          <w:szCs w:val="32"/>
        </w:rPr>
        <w:t>1904 5101 0400 48061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联系方式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联 系 人：</w:t>
      </w:r>
      <w:r>
        <w:rPr>
          <w:rFonts w:hint="eastAsia" w:ascii="仿宋_GB2312" w:hAnsi="微软雅黑" w:eastAsia="仿宋_GB2312" w:cs="微软雅黑"/>
          <w:bCs/>
          <w:sz w:val="32"/>
          <w:szCs w:val="32"/>
        </w:rPr>
        <w:t>莫杨杰</w:t>
      </w:r>
      <w:r>
        <w:rPr>
          <w:rFonts w:hint="eastAsia" w:ascii="仿宋_GB2312" w:hAnsi="微软雅黑" w:eastAsia="仿宋_GB2312" w:cs="微软雅黑"/>
          <w:bCs/>
          <w:sz w:val="32"/>
          <w:szCs w:val="32"/>
          <w:lang w:val="en-US" w:eastAsia="zh-CN"/>
        </w:rPr>
        <w:t xml:space="preserve">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宋体" w:hAnsi="宋体" w:cs="宋体" w:eastAsia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联系电话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/微信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ascii="仿宋_GB2312" w:eastAsia="仿宋_GB2312"/>
          <w:bCs/>
          <w:sz w:val="32"/>
          <w:szCs w:val="32"/>
        </w:rPr>
        <w:t>175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>0147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>4998</w:t>
      </w:r>
      <w:r>
        <w:rPr>
          <w:rFonts w:hint="eastAsia" w:ascii="宋体" w:hAnsi="宋体" w:cs="宋体"/>
          <w:sz w:val="32"/>
          <w:szCs w:val="32"/>
        </w:rPr>
        <w:t xml:space="preserve">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8CD5B188-674D-498F-BF38-9A4900F6BFAE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909234F5-E4AF-4118-90BA-36C877D64A01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5B8264E-C71C-4B85-B12F-1A5294A6373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4" w:fontKey="{EC7F7096-05A3-4F5B-ACF4-E495A709DC6B}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89760EE4-7DD1-4382-9CED-80EE6342BE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C08E1B6-3A50-4E1E-928A-87DDBC1BFB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92688B4B-7622-4D80-8581-69828D8A42A2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8" w:fontKey="{7CA97808-ADC2-45A0-878A-3C6A73C63AB2}"/>
  </w:font>
  <w:font w:name="___WRD_EMBED_SUB_47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9" w:fontKey="{7815F5A4-099E-4464-815D-8E7F597EBFD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0" w:fontKey="{0DA315F4-3FFF-464E-BBDE-50868FE4F731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4BD1"/>
    <w:multiLevelType w:val="multilevel"/>
    <w:tmpl w:val="3E4A4BD1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8BD2C1"/>
    <w:multiLevelType w:val="singleLevel"/>
    <w:tmpl w:val="508BD2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473398"/>
    <w:multiLevelType w:val="multilevel"/>
    <w:tmpl w:val="65473398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D5BCA"/>
    <w:rsid w:val="00203B1C"/>
    <w:rsid w:val="002900FD"/>
    <w:rsid w:val="0029558A"/>
    <w:rsid w:val="002A6B8B"/>
    <w:rsid w:val="003219FC"/>
    <w:rsid w:val="003B4F86"/>
    <w:rsid w:val="004103AE"/>
    <w:rsid w:val="00423F46"/>
    <w:rsid w:val="004F0EF9"/>
    <w:rsid w:val="005F7370"/>
    <w:rsid w:val="0063085B"/>
    <w:rsid w:val="006A2BA4"/>
    <w:rsid w:val="00771204"/>
    <w:rsid w:val="0077338E"/>
    <w:rsid w:val="00792998"/>
    <w:rsid w:val="009223C2"/>
    <w:rsid w:val="00946074"/>
    <w:rsid w:val="009D1D40"/>
    <w:rsid w:val="009F62C8"/>
    <w:rsid w:val="00B253D4"/>
    <w:rsid w:val="00D2385D"/>
    <w:rsid w:val="00DF4046"/>
    <w:rsid w:val="00E16BBD"/>
    <w:rsid w:val="01FC39F2"/>
    <w:rsid w:val="03F45B47"/>
    <w:rsid w:val="04601BAA"/>
    <w:rsid w:val="08315D4A"/>
    <w:rsid w:val="08476E72"/>
    <w:rsid w:val="0A684FB4"/>
    <w:rsid w:val="0B24042E"/>
    <w:rsid w:val="0BB969BC"/>
    <w:rsid w:val="12343C40"/>
    <w:rsid w:val="12CD5BCA"/>
    <w:rsid w:val="1641149F"/>
    <w:rsid w:val="19504750"/>
    <w:rsid w:val="19A32673"/>
    <w:rsid w:val="1C390371"/>
    <w:rsid w:val="1C900392"/>
    <w:rsid w:val="1F760CB9"/>
    <w:rsid w:val="22A90A3A"/>
    <w:rsid w:val="24B85316"/>
    <w:rsid w:val="28A904CD"/>
    <w:rsid w:val="2CD630A6"/>
    <w:rsid w:val="2CDA393D"/>
    <w:rsid w:val="2CFE7AB8"/>
    <w:rsid w:val="312D0131"/>
    <w:rsid w:val="31CD6633"/>
    <w:rsid w:val="3291780F"/>
    <w:rsid w:val="34C73001"/>
    <w:rsid w:val="382517C8"/>
    <w:rsid w:val="42DD0049"/>
    <w:rsid w:val="42E95F33"/>
    <w:rsid w:val="43700F32"/>
    <w:rsid w:val="46302C93"/>
    <w:rsid w:val="48315A07"/>
    <w:rsid w:val="4BC841FD"/>
    <w:rsid w:val="4EBF217D"/>
    <w:rsid w:val="512A03C8"/>
    <w:rsid w:val="52B75ED6"/>
    <w:rsid w:val="53EF323A"/>
    <w:rsid w:val="591D3B4D"/>
    <w:rsid w:val="5BC818FB"/>
    <w:rsid w:val="5D6464A7"/>
    <w:rsid w:val="5DBC03F5"/>
    <w:rsid w:val="6093294C"/>
    <w:rsid w:val="65BB2785"/>
    <w:rsid w:val="69573E94"/>
    <w:rsid w:val="6B1C1EFA"/>
    <w:rsid w:val="6B91406F"/>
    <w:rsid w:val="74DC5821"/>
    <w:rsid w:val="758D1015"/>
    <w:rsid w:val="76300353"/>
    <w:rsid w:val="78070EA3"/>
    <w:rsid w:val="7953044F"/>
    <w:rsid w:val="795A32DA"/>
    <w:rsid w:val="7A45781C"/>
    <w:rsid w:val="7AEB3FAF"/>
    <w:rsid w:val="7E516C4E"/>
    <w:rsid w:val="7E5A1C12"/>
    <w:rsid w:val="7F5C34FC"/>
    <w:rsid w:val="7FD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Calibri" w:hAnsi="Calibri" w:eastAsia="宋体" w:cs="Times New Roman"/>
      <w:szCs w:val="22"/>
    </w:rPr>
  </w:style>
  <w:style w:type="character" w:customStyle="1" w:styleId="9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0B7D03-4869-4DF1-8781-D76AA723A3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448</Words>
  <Characters>2556</Characters>
  <Lines>21</Lines>
  <Paragraphs>5</Paragraphs>
  <TotalTime>23</TotalTime>
  <ScaleCrop>false</ScaleCrop>
  <LinksUpToDate>false</LinksUpToDate>
  <CharactersWithSpaces>2999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2020-09-16T07:15:00Z</dcterms:created>
  <dc:creator>NTKO</dc:creator>
  <cp:lastModifiedBy>海海海海海</cp:lastModifiedBy>
  <cp:lastPrinted>2020-10-14T03:47:00Z</cp:lastPrinted>
  <dcterms:modified xsi:type="dcterms:W3CDTF">2020-10-20T05:47:27Z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